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0" w:firstLineChars="0"/>
        <w:rPr>
          <w:rFonts w:hint="eastAsia"/>
          <w:kern w:val="0"/>
          <w:highlight w:val="none"/>
        </w:rPr>
      </w:pPr>
      <w:r>
        <w:rPr>
          <w:rFonts w:hint="eastAsia"/>
          <w:kern w:val="0"/>
          <w:highlight w:val="none"/>
        </w:rPr>
        <w:t>附表3</w:t>
      </w:r>
    </w:p>
    <w:p>
      <w:pPr>
        <w:adjustRightInd/>
        <w:spacing w:before="108" w:beforeLines="25" w:after="108" w:afterLines="25" w:line="500" w:lineRule="exact"/>
        <w:ind w:firstLine="0" w:firstLineChars="0"/>
        <w:jc w:val="center"/>
        <w:rPr>
          <w:rFonts w:ascii="方正小标宋简体" w:eastAsia="方正小标宋简体"/>
          <w:kern w:val="0"/>
          <w:sz w:val="36"/>
          <w:szCs w:val="36"/>
          <w:highlight w:val="none"/>
        </w:rPr>
      </w:pPr>
      <w:bookmarkStart w:id="0" w:name="_Hlk73626984"/>
      <w:r>
        <w:rPr>
          <w:rFonts w:ascii="方正小标宋简体" w:eastAsia="方正小标宋简体"/>
          <w:kern w:val="0"/>
          <w:sz w:val="36"/>
          <w:szCs w:val="36"/>
          <w:highlight w:val="none"/>
        </w:rPr>
        <w:t>202</w:t>
      </w:r>
      <w:r>
        <w:rPr>
          <w:rFonts w:hint="eastAsia" w:ascii="方正小标宋简体" w:eastAsia="方正小标宋简体"/>
          <w:kern w:val="0"/>
          <w:sz w:val="36"/>
          <w:szCs w:val="36"/>
          <w:highlight w:val="none"/>
          <w:lang w:val="en-US" w:eastAsia="zh-CN"/>
        </w:rPr>
        <w:t>2</w:t>
      </w:r>
      <w:r>
        <w:rPr>
          <w:rFonts w:ascii="方正小标宋简体" w:eastAsia="方正小标宋简体"/>
          <w:kern w:val="0"/>
          <w:sz w:val="36"/>
          <w:szCs w:val="36"/>
          <w:highlight w:val="none"/>
        </w:rPr>
        <w:t>年度</w:t>
      </w:r>
      <w:r>
        <w:rPr>
          <w:rFonts w:hint="eastAsia" w:ascii="方正小标宋简体" w:eastAsia="方正小标宋简体"/>
          <w:kern w:val="0"/>
          <w:sz w:val="36"/>
          <w:szCs w:val="36"/>
          <w:highlight w:val="none"/>
        </w:rPr>
        <w:t>项目支出</w:t>
      </w:r>
      <w:r>
        <w:rPr>
          <w:rFonts w:ascii="方正小标宋简体" w:eastAsia="方正小标宋简体"/>
          <w:kern w:val="0"/>
          <w:sz w:val="36"/>
          <w:szCs w:val="36"/>
          <w:highlight w:val="none"/>
        </w:rPr>
        <w:t>绩效自评表</w:t>
      </w:r>
      <w:bookmarkEnd w:id="0"/>
    </w:p>
    <w:tbl>
      <w:tblPr>
        <w:tblStyle w:val="6"/>
        <w:tblW w:w="98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1050"/>
        <w:gridCol w:w="1031"/>
        <w:gridCol w:w="1275"/>
        <w:gridCol w:w="1219"/>
        <w:gridCol w:w="1219"/>
        <w:gridCol w:w="692"/>
        <w:gridCol w:w="808"/>
        <w:gridCol w:w="13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69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cs="仿宋_GB2312"/>
                <w:sz w:val="20"/>
                <w:szCs w:val="20"/>
                <w:lang w:eastAsia="zh-CN"/>
              </w:rPr>
              <w:t>业务工作经费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岳阳市农业农村局</w:t>
            </w: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28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岳阳市洞庭湖江豚保护中心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0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全年执行数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196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202.32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z w:val="20"/>
                <w:szCs w:val="20"/>
                <w:lang w:val="en-US" w:eastAsia="zh-CN"/>
              </w:rPr>
              <w:t>177.86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87.91%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8.8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194.00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sz w:val="20"/>
                <w:szCs w:val="20"/>
                <w:lang w:val="en-US" w:eastAsia="zh-CN"/>
              </w:rPr>
              <w:t>169.54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588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8.32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8.32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588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1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  <w:t>做好各观测站的日常管理工作，加强长江江豚保护区日常巡查，及时救护长江江豚等珍贵、濒危水生生物。做好长江江豚保护宣传工作</w:t>
            </w:r>
            <w:r>
              <w:rPr>
                <w:rFonts w:hint="eastAsia" w:ascii="仿宋_GB2312" w:hAnsi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  <w:t>，以及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0"/>
                <w:szCs w:val="20"/>
                <w:lang w:val="en-US" w:eastAsia="zh-CN"/>
              </w:rPr>
              <w:t>长江岳阳段范围内珍贵、濒危水生野生动物保护</w:t>
            </w:r>
            <w:r>
              <w:rPr>
                <w:rFonts w:hint="eastAsia" w:ascii="仿宋_GB2312" w:hAnsi="仿宋_GB2312" w:cs="仿宋_GB2312"/>
                <w:b w:val="0"/>
                <w:bCs w:val="0"/>
                <w:sz w:val="20"/>
                <w:szCs w:val="20"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0"/>
                <w:szCs w:val="20"/>
                <w:lang w:val="en-US" w:eastAsia="zh-CN"/>
              </w:rPr>
              <w:t>宣传教育工作。完成市本级保护区内水生生物资源及其生存环境的监测工作。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按质按量完成水生生物人工增殖放流工作。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　　　　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1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0"/>
                <w:szCs w:val="20"/>
                <w:lang w:val="en-US" w:eastAsia="zh-CN"/>
              </w:rPr>
              <w:t>全部完成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做好长江江豚保护宣传工作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印发宣传资料</w:t>
            </w: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000份以上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000份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开展长江江豚生态科学考察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1次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1次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开展资源调查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1次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2次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增殖放流鱼苗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约</w:t>
            </w: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尾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4.8万尾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完成对岳阳市江豚保护协会环境保护宣教的捐赠工作。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2次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2次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日常巡查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适航条件下每日巡查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95%以上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做好观测站相关工作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准确掌握观测站观测水域相关数据，填报巡查日志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95%以上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eastAsia="zh-CN"/>
              </w:rPr>
              <w:t>增殖放流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淡水鱼苗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检疫合格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合格100%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救护长江江豚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及时救护长江江豚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1次以上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2次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年内完成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2022年12月31日前完成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合理使用项目资金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控制在批复预算内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经济效益指标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保持生态保护的社会高参与度和认可度。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社会认可度≥95%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优化江豚等水生生物的栖息环境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保护区水生生物栖息环境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有所改善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有所改善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6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保护区水生生物栖息环境有所改善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有所改善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有所改善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6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实现江豚种群可持续发展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江豚种群数量稳中向增　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有所提升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洞庭湖生态环境向好发展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有所改善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有所改善</w:t>
            </w: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_GB2312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_GB2312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≥</w:t>
            </w:r>
            <w:r>
              <w:rPr>
                <w:rFonts w:hint="eastAsia" w:eastAsia="仿宋_GB2312"/>
                <w:kern w:val="0"/>
                <w:sz w:val="20"/>
                <w:szCs w:val="20"/>
              </w:rPr>
              <w:t>95%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≥</w:t>
            </w:r>
            <w:r>
              <w:rPr>
                <w:rFonts w:hint="eastAsia" w:eastAsia="仿宋_GB2312"/>
                <w:kern w:val="0"/>
                <w:sz w:val="20"/>
                <w:szCs w:val="20"/>
              </w:rPr>
              <w:t>95%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0"/>
                <w:szCs w:val="20"/>
                <w:lang w:val="en-US" w:eastAsia="zh-CN"/>
              </w:rPr>
              <w:t>98.80</w:t>
            </w:r>
          </w:p>
        </w:tc>
        <w:tc>
          <w:tcPr>
            <w:tcW w:w="1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adjustRightInd/>
        <w:spacing w:before="108" w:beforeLines="25" w:after="108" w:afterLines="25" w:line="500" w:lineRule="exact"/>
        <w:ind w:firstLine="0" w:firstLineChars="0"/>
        <w:jc w:val="both"/>
      </w:pPr>
      <w:r>
        <w:rPr>
          <w:rFonts w:eastAsia="仿宋"/>
          <w:kern w:val="0"/>
          <w:szCs w:val="22"/>
          <w:highlight w:val="none"/>
        </w:rPr>
        <w:t xml:space="preserve"> </w:t>
      </w:r>
    </w:p>
    <w:p>
      <w:bookmarkStart w:id="1" w:name="_GoBack"/>
      <w:bookmarkEnd w:id="1"/>
    </w:p>
    <w:sectPr>
      <w:headerReference r:id="rId6" w:type="first"/>
      <w:footerReference r:id="rId9" w:type="first"/>
      <w:headerReference r:id="rId5" w:type="default"/>
      <w:footerReference r:id="rId7" w:type="default"/>
      <w:footerReference r:id="rId8" w:type="even"/>
      <w:pgSz w:w="11906" w:h="16838"/>
      <w:pgMar w:top="2098" w:right="1474" w:bottom="1985" w:left="1588" w:header="851" w:footer="1588" w:gutter="0"/>
      <w:pgNumType w:fmt="decimal"/>
      <w:cols w:space="425" w:num="1"/>
      <w:titlePg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32"/>
      </w:pPr>
      <w:r>
        <w:separator/>
      </w:r>
    </w:p>
  </w:endnote>
  <w:endnote w:type="continuationSeparator" w:id="1">
    <w:p>
      <w:pPr>
        <w:spacing w:line="240" w:lineRule="auto"/>
        <w:ind w:firstLine="63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0" w:firstLineChars="0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32"/>
      </w:pPr>
      <w:r>
        <w:separator/>
      </w:r>
    </w:p>
  </w:footnote>
  <w:footnote w:type="continuationSeparator" w:id="1">
    <w:p>
      <w:pPr>
        <w:spacing w:line="240" w:lineRule="auto"/>
        <w:ind w:firstLine="63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9819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579" w:lineRule="atLeast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outlineLvl w:val="1"/>
    </w:pPr>
    <w:rPr>
      <w:rFonts w:eastAsia="黑体"/>
      <w:bCs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农业农村局</dc:creator>
  <cp:lastModifiedBy>贵琳</cp:lastModifiedBy>
  <dcterms:modified xsi:type="dcterms:W3CDTF">2023-07-17T09:40:34Z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3A7BD5DE50904C1AB08C136FEA872B76</vt:lpwstr>
  </property>
</Properties>
</file>